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Modèle de programme de formation</w:t>
      </w:r>
    </w:p>
    <w:p>
      <w:pPr>
        <w:pStyle w:val="Normal"/>
        <w:rPr/>
      </w:pPr>
      <w:r>
        <w:rPr/>
      </w:r>
    </w:p>
    <w:p>
      <w:pPr>
        <w:pStyle w:val="Heading1"/>
        <w:rPr/>
      </w:pPr>
      <w:r>
        <w:rPr/>
        <w:t xml:space="preserve">Rééducation de la lésion méniscale : </w:t>
      </w:r>
      <w:r>
        <w:rPr/>
        <w:t>mise A Jour</w:t>
      </w:r>
    </w:p>
    <w:p>
      <w:pPr>
        <w:pStyle w:val="Normal"/>
        <w:rPr/>
      </w:pPr>
      <w:r>
        <w:rPr/>
      </w:r>
    </w:p>
    <w:p>
      <w:pPr>
        <w:pStyle w:val="Heading1"/>
        <w:rPr/>
      </w:pPr>
      <w:r>
        <w:rPr/>
        <w:t>Description sommaire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Cette formation vise à </w:t>
      </w:r>
      <w:r>
        <w:rPr>
          <w:shd w:fill="auto" w:val="clear"/>
        </w:rPr>
        <w:t>Actualise</w:t>
      </w:r>
      <w:r>
        <w:rPr>
          <w:shd w:fill="auto" w:val="clear"/>
        </w:rPr>
        <w:t>r</w:t>
      </w:r>
      <w:r>
        <w:rPr>
          <w:shd w:fill="auto" w:val="clear"/>
        </w:rPr>
        <w:t xml:space="preserve"> </w:t>
      </w:r>
      <w:r>
        <w:rPr>
          <w:shd w:fill="auto" w:val="clear"/>
        </w:rPr>
        <w:t>la</w:t>
      </w:r>
      <w:r>
        <w:rPr>
          <w:shd w:fill="auto" w:val="clear"/>
        </w:rPr>
        <w:t xml:space="preserve"> prise en charge des lésions méniscales à la lumière des dernières données scientifiques et des consensus internationaux. Cette formation </w:t>
      </w:r>
      <w:r>
        <w:rPr>
          <w:shd w:fill="auto" w:val="clear"/>
        </w:rPr>
        <w:t>abordera</w:t>
      </w:r>
      <w:r>
        <w:rPr>
          <w:shd w:fill="auto" w:val="clear"/>
        </w:rPr>
        <w:t xml:space="preserve"> les clés pour maîtriser l’examen clinique, sécuriser </w:t>
      </w:r>
      <w:r>
        <w:rPr>
          <w:shd w:fill="auto" w:val="clear"/>
        </w:rPr>
        <w:t>les</w:t>
      </w:r>
      <w:r>
        <w:rPr>
          <w:shd w:fill="auto" w:val="clear"/>
        </w:rPr>
        <w:t xml:space="preserve"> diagnostics différentiels et appliquer un raisonnement clinique rigoureux afin de bâtir un plan de rééducation sur mesure, du geste chirurgical ou conservateur jusqu'à la reprise complète des activités. </w:t>
      </w:r>
    </w:p>
    <w:p>
      <w:pPr>
        <w:pStyle w:val="Heading1"/>
        <w:rPr/>
      </w:pPr>
      <w:r>
        <w:rPr/>
        <w:t>Durée (en jours et en heures)</w:t>
      </w:r>
    </w:p>
    <w:p>
      <w:pPr>
        <w:pStyle w:val="Normal"/>
        <w:rPr/>
      </w:pPr>
      <w:r>
        <w:rPr>
          <w:b/>
          <w:bCs/>
        </w:rPr>
        <w:t>Format de la formation :</w:t>
      </w:r>
      <w:r>
        <w:rPr/>
        <w:t xml:space="preserve"> mixte </w:t>
      </w:r>
      <w:r>
        <w:rPr>
          <w:highlight w:val="green"/>
        </w:rPr>
        <w:t>(présentiel 2 jours + e-learning)</w:t>
      </w:r>
    </w:p>
    <w:p>
      <w:pPr>
        <w:pStyle w:val="Normal"/>
        <w:rPr/>
      </w:pPr>
      <w:r>
        <w:rPr>
          <w:b/>
          <w:bCs/>
        </w:rPr>
        <w:t>Durée de la formation en jours :</w:t>
      </w:r>
      <w:r>
        <w:rPr/>
        <w:t xml:space="preserve"> 2,5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Durée de la formation en heures : </w:t>
      </w:r>
      <w:r>
        <w:rPr/>
        <w:t>16 h (7h+7h + 2h e-learning)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Nombre de participants par session de formation : </w:t>
      </w:r>
      <w:r>
        <w:rPr/>
        <w:t>n=20</w:t>
      </w:r>
    </w:p>
    <w:p>
      <w:pPr>
        <w:pStyle w:val="Heading1"/>
        <w:rPr/>
      </w:pPr>
      <w:r>
        <w:rPr/>
        <w:t>Objectifs pédagogiques</w:t>
      </w:r>
    </w:p>
    <w:p>
      <w:pPr>
        <w:pStyle w:val="ListParagraph"/>
        <w:spacing w:lineRule="auto" w:line="240" w:before="0" w:after="0"/>
        <w:contextualSpacing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Maitriser l’examen du genou et les tests cliniques spécifiques aux lésions méniscales</w:t>
      </w:r>
    </w:p>
    <w:p>
      <w:pPr>
        <w:pStyle w:val="Normal"/>
        <w:spacing w:lineRule="auto" w:line="240" w:before="0" w:after="0"/>
        <w:rPr/>
      </w:pPr>
      <w:r>
        <w:rPr/>
        <w:t>Maitriser les diagnostics différentiels et les drapeaux-rouges liés à la région du genou</w:t>
      </w:r>
    </w:p>
    <w:p>
      <w:pPr>
        <w:pStyle w:val="Normal"/>
        <w:spacing w:lineRule="auto" w:line="240" w:before="0" w:after="0"/>
        <w:rPr/>
      </w:pPr>
      <w:r>
        <w:rPr/>
        <w:t>Maitriser le bilan objectif des déficiences et des limitations d’activités en lien avec les lésions méniscales</w:t>
      </w:r>
    </w:p>
    <w:p>
      <w:pPr>
        <w:pStyle w:val="Normal"/>
        <w:spacing w:lineRule="auto" w:line="240" w:before="0" w:after="0"/>
        <w:rPr/>
      </w:pPr>
      <w:r>
        <w:rPr/>
        <w:t>Savoir et comprendre l’algorithme décisionnel de la prise en charge de la lésion méniscale</w:t>
      </w:r>
    </w:p>
    <w:p>
      <w:pPr>
        <w:pStyle w:val="Normal"/>
        <w:spacing w:lineRule="auto" w:line="240" w:before="0" w:after="0"/>
        <w:rPr/>
      </w:pPr>
      <w:r>
        <w:rPr/>
        <w:t>Savoir proposer un plan de rééducation adapté</w:t>
      </w:r>
    </w:p>
    <w:p>
      <w:pPr>
        <w:pStyle w:val="ListParagraph"/>
        <w:spacing w:lineRule="auto" w:line="240" w:before="0" w:after="0"/>
        <w:contextualSpacing/>
        <w:rPr/>
      </w:pPr>
      <w:r>
        <w:rPr/>
      </w:r>
    </w:p>
    <w:p>
      <w:pPr>
        <w:pStyle w:val="Heading1"/>
        <w:rPr/>
      </w:pPr>
      <w:r>
        <w:rPr/>
        <w:t>Contenu</w:t>
      </w:r>
    </w:p>
    <w:p>
      <w:pPr>
        <w:pStyle w:val="Normal"/>
        <w:rPr>
          <w:b/>
          <w:bCs/>
          <w:u w:val="single"/>
        </w:rPr>
      </w:pPr>
      <w:r>
        <w:rPr>
          <w:b/>
          <w:bCs/>
          <w:u w:val="single"/>
        </w:rPr>
        <w:t>E-Learning 2H</w:t>
      </w:r>
    </w:p>
    <w:p>
      <w:pPr>
        <w:pStyle w:val="Normal"/>
        <w:spacing w:lineRule="auto" w:line="240" w:before="0" w:after="0"/>
        <w:rPr/>
      </w:pPr>
      <w:r>
        <w:rPr/>
        <w:t>Présentation des formateurs</w:t>
      </w:r>
    </w:p>
    <w:p>
      <w:pPr>
        <w:pStyle w:val="Normal"/>
        <w:spacing w:lineRule="auto" w:line="240" w:before="0" w:after="0"/>
        <w:rPr/>
      </w:pPr>
      <w:r>
        <w:rPr/>
        <w:t>Rappels anatomiques et biomécaniques</w:t>
      </w:r>
    </w:p>
    <w:p>
      <w:pPr>
        <w:pStyle w:val="Normal"/>
        <w:spacing w:lineRule="auto" w:line="240" w:before="0" w:after="0"/>
        <w:rPr/>
      </w:pPr>
      <w:r>
        <w:rPr/>
        <w:t>Présentations des objectifs de la formation et recueil des attentes des participants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rPr>
          <w:b/>
          <w:bCs/>
          <w:u w:val="single"/>
        </w:rPr>
      </w:pPr>
      <w:r>
        <w:rPr>
          <w:b/>
          <w:bCs/>
          <w:u w:val="single"/>
        </w:rPr>
        <w:t>1</w:t>
      </w:r>
      <w:r>
        <w:rPr>
          <w:b/>
          <w:bCs/>
          <w:u w:val="single"/>
          <w:vertAlign w:val="superscript"/>
        </w:rPr>
        <w:t>er</w:t>
      </w:r>
      <w:r>
        <w:rPr>
          <w:b/>
          <w:bCs/>
          <w:u w:val="single"/>
        </w:rPr>
        <w:t xml:space="preserve"> Jour (7h)</w:t>
      </w:r>
    </w:p>
    <w:p>
      <w:pPr>
        <w:pStyle w:val="Normal"/>
        <w:spacing w:lineRule="auto" w:line="240" w:before="0" w:after="0"/>
        <w:rPr/>
      </w:pPr>
      <w:r>
        <w:rPr/>
        <w:t>Introduction, le ménisque clé de voute du genou</w:t>
      </w:r>
    </w:p>
    <w:p>
      <w:pPr>
        <w:pStyle w:val="Normal"/>
        <w:spacing w:lineRule="auto" w:line="240" w:before="0" w:after="0"/>
        <w:rPr/>
      </w:pPr>
      <w:r>
        <w:rPr/>
        <w:t>Les dernières connaissance anatomiques et biomécaniques concernant les mnésiques</w:t>
      </w:r>
    </w:p>
    <w:p>
      <w:pPr>
        <w:pStyle w:val="Normal"/>
        <w:spacing w:lineRule="auto" w:line="240" w:before="0" w:after="0"/>
        <w:rPr/>
      </w:pPr>
      <w:r>
        <w:rPr/>
        <w:t>Examen clinique et repérage anatomique</w:t>
      </w:r>
    </w:p>
    <w:p>
      <w:pPr>
        <w:pStyle w:val="Normal"/>
        <w:spacing w:lineRule="auto" w:line="240" w:before="0" w:after="0"/>
        <w:rPr/>
      </w:pPr>
      <w:r>
        <w:rPr/>
        <w:t>Présentation du consensus ESSKA UE-US  Rééducation de la lésion méniscales</w:t>
      </w:r>
    </w:p>
    <w:p>
      <w:pPr>
        <w:pStyle w:val="Normal"/>
        <w:spacing w:lineRule="auto" w:line="240" w:before="0" w:after="0"/>
        <w:rPr/>
      </w:pPr>
      <w:r>
        <w:rPr/>
        <w:t>Cas cliniques et re tours d’expériences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rPr>
          <w:b/>
          <w:bCs/>
          <w:u w:val="single"/>
        </w:rPr>
      </w:pPr>
      <w:r>
        <w:rPr>
          <w:b/>
          <w:bCs/>
          <w:u w:val="single"/>
        </w:rPr>
        <w:t>2</w:t>
      </w:r>
      <w:r>
        <w:rPr>
          <w:b/>
          <w:bCs/>
          <w:u w:val="single"/>
          <w:vertAlign w:val="superscript"/>
        </w:rPr>
        <w:t>ème</w:t>
      </w:r>
      <w:r>
        <w:rPr>
          <w:b/>
          <w:bCs/>
          <w:u w:val="single"/>
        </w:rPr>
        <w:t xml:space="preserve"> jour (7h)</w:t>
      </w:r>
    </w:p>
    <w:p>
      <w:pPr>
        <w:pStyle w:val="Normal"/>
        <w:spacing w:lineRule="auto" w:line="240" w:before="0" w:after="0"/>
        <w:rPr/>
      </w:pPr>
      <w:r>
        <w:rPr/>
        <w:t xml:space="preserve">La rééducation en fonction des types de lésions, des plan de traitements et des types de chirurgies </w:t>
      </w:r>
    </w:p>
    <w:p>
      <w:pPr>
        <w:pStyle w:val="Normal"/>
        <w:spacing w:lineRule="auto" w:line="240" w:before="0" w:after="0"/>
        <w:rPr/>
      </w:pPr>
      <w:r>
        <w:rPr/>
        <w:t>Bilan et tests fonctionnels du membre inférieur en lien avec les grandes étapes de la rééducation et du retour aux activités</w:t>
      </w:r>
    </w:p>
    <w:p>
      <w:pPr>
        <w:pStyle w:val="Normal"/>
        <w:rPr/>
      </w:pPr>
      <w:r>
        <w:rPr/>
      </w:r>
    </w:p>
    <w:p>
      <w:pPr>
        <w:pStyle w:val="Heading1"/>
        <w:rPr/>
      </w:pPr>
      <w:r>
        <w:rPr/>
        <w:t>Profil des apprenants :</w:t>
      </w:r>
    </w:p>
    <w:p>
      <w:pPr>
        <w:pStyle w:val="Normal"/>
        <w:rPr>
          <w:b/>
          <w:bCs/>
        </w:rPr>
      </w:pPr>
      <w:r>
        <w:rPr>
          <w:b/>
          <w:bCs/>
        </w:rPr>
        <w:t>Kinésithérapeutes DE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u w:val="single"/>
        </w:rPr>
        <w:t>Modalités et délais d’accès :</w:t>
      </w:r>
      <w:r>
        <w:rPr/>
        <w:t xml:space="preserve"> « </w:t>
      </w:r>
      <w:commentRangeStart w:id="0"/>
      <w:r>
        <w:rPr/>
        <w:t>faire figurer ici les dates de formation </w:t>
      </w:r>
      <w:r>
        <w:rPr/>
      </w:r>
      <w:commentRangeEnd w:id="0"/>
      <w:r>
        <w:commentReference w:id="0"/>
      </w:r>
      <w:r>
        <w:rPr/>
        <w:t>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u w:val="single"/>
        </w:rPr>
        <w:t>Méthodes pédagogiques :</w:t>
      </w:r>
      <w:r>
        <w:rPr/>
        <w:t xml:space="preserve"> Diaporama / Quizz / retour d’expérience / analyse de cas / mise en pratique</w:t>
      </w:r>
    </w:p>
    <w:p>
      <w:pPr>
        <w:pStyle w:val="Normal"/>
        <w:rPr/>
      </w:pPr>
      <w:r>
        <w:rPr>
          <w:u w:val="single"/>
        </w:rPr>
        <w:t>Méthodes d’évaluation :</w:t>
      </w:r>
      <w:r>
        <w:rPr/>
        <w:t xml:space="preserve"> Retour de raisonnement clinique / analyse des connaissances / questionnaire avant entrée en formation / questionnaire fin de formation / Quizz</w:t>
      </w:r>
    </w:p>
    <w:p>
      <w:pPr>
        <w:pStyle w:val="Normal"/>
        <w:rPr/>
      </w:pPr>
      <w:r>
        <w:rPr/>
      </w:r>
      <w:r>
        <w:br w:type="page"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16"/>
        <w:gridCol w:w="2617"/>
        <w:gridCol w:w="2616"/>
        <w:gridCol w:w="2617"/>
      </w:tblGrid>
      <w:tr>
        <w:trPr/>
        <w:tc>
          <w:tcPr>
            <w:tcW w:w="2616" w:type="dxa"/>
            <w:tcBorders/>
          </w:tcPr>
          <w:p>
            <w:pPr>
              <w:pStyle w:val="Contenudetableau"/>
              <w:pageBreakBefore/>
              <w:widowControl w:val="false"/>
              <w:suppressLineNumbers/>
              <w:spacing w:before="100" w:after="200"/>
              <w:rPr/>
            </w:pPr>
            <w:r>
              <w:rPr/>
              <w:t xml:space="preserve">Module E-Learning en amont (2h00)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30 min 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Présentation des formateurs et du cadre de la formation.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Recueil des attentes des apprenants et auto-positionnement (évaluation pré-formation / Wooclap).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 </w:t>
            </w:r>
            <w:r>
              <w:rPr/>
              <w:t>T. Neri et A. Rambaud</w:t>
            </w:r>
          </w:p>
        </w:tc>
      </w:tr>
      <w:tr>
        <w:trPr>
          <w:trHeight w:val="1479" w:hRule="atLeast"/>
        </w:trPr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45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ind w:hanging="0" w:start="0" w:end="0"/>
              <w:rPr/>
            </w:pPr>
            <w:r>
              <w:rPr/>
              <w:t xml:space="preserve">Rappels fondamentaux en anatomie et biomécanique méniscale (vascularisation, innervation, cinématique).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45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Épidémiologie, typologie des lésions méniscales (traumatiques vs dégénératives) et quiz de validation des prérequis.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10466" w:type="dxa"/>
            <w:gridSpan w:val="4"/>
            <w:tcBorders>
              <w:top w:val="single" w:sz="4" w:space="0" w:color="0070C0"/>
              <w:start w:val="single" w:sz="4" w:space="0" w:color="0070C0"/>
              <w:bottom w:val="single" w:sz="4" w:space="0" w:color="0070C0"/>
              <w:end w:val="single" w:sz="4" w:space="0" w:color="0070C0"/>
            </w:tcBorders>
          </w:tcPr>
          <w:p>
            <w:pPr>
              <w:pStyle w:val="Contenudetableau"/>
              <w:spacing w:before="100" w:after="200"/>
              <w:jc w:val="center"/>
              <w:rPr/>
            </w:pPr>
            <w:r>
              <w:rPr>
                <w:b/>
                <w:bCs/>
              </w:rPr>
              <w:t>Jour 1 : Du diagnostic au consensus international (7h00)</w:t>
            </w:r>
            <w:r>
              <w:rPr/>
              <w:t xml:space="preserve"> 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09h00 – 09h30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>30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>Accueil &amp; Débriefing e-learning</w:t>
            </w:r>
          </w:p>
          <w:p>
            <w:pPr>
              <w:pStyle w:val="Contenudetableau"/>
              <w:spacing w:before="100" w:after="200"/>
              <w:rPr/>
            </w:pPr>
            <w:r>
              <w:rPr/>
              <w:t>Tour de table, réponses aux questions issues du e-learning.</w:t>
              <w:br/>
              <w:br/>
              <w:t xml:space="preserve">Quiz interactif d'ancrage (Wooclap).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09h30 – 10h30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60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 xml:space="preserve">Théorie : Le ménisque, clé de voûte du genou </w:t>
            </w:r>
          </w:p>
          <w:p>
            <w:pPr>
              <w:pStyle w:val="Contenudetableau"/>
              <w:rPr/>
            </w:pPr>
            <w:r>
              <w:rPr/>
              <w:t>Dernières avancées scientifiques en biomécanique et physiopathologie méniscale.</w:t>
            </w:r>
          </w:p>
          <w:p>
            <w:pPr>
              <w:pStyle w:val="Contenudetableau"/>
              <w:spacing w:before="100" w:after="200"/>
              <w:rPr/>
            </w:pPr>
            <w:r>
              <w:rPr/>
              <w:t>Rôles protecteurs chondro-méniscaux, contraintes en charge et mécanismes lésionnels.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10h30 – 10h45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15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>Pause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 xml:space="preserve">  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10h45 – 12h30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</w:r>
            <w:bookmarkStart w:id="0" w:name="p-rc_74f1a51bef66ddb6-68"/>
            <w:bookmarkEnd w:id="0"/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1h45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Pratique : Examen clinique &amp; Repérage anatomique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Palpation, repères anatomiques spécifiques de l'interligne articulaire. 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Tests cliniques spécifiques méniscaux (McMurray, Thessaly, Apley, Ege’s test, etc.) : sensibilité, spécificité et clusters de tests. 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Diagnostic différentiel et drapeaux rouges (red flags) du genou. 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>Atelier pratique en binômes avec retours des formateurs.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12h30 – 13h30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60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>
                <w:b/>
                <w:bCs/>
              </w:rPr>
              <w:t>Pause Déjeuner</w:t>
            </w:r>
            <w:r>
              <w:rPr/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13h30 – 15h00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1h30min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 xml:space="preserve">Théorie &amp; Décision : Le consensus ESSKA UE-US </w:t>
            </w:r>
          </w:p>
          <w:p>
            <w:pPr>
              <w:pStyle w:val="Contenudetableau"/>
              <w:rPr/>
            </w:pPr>
            <w:r>
              <w:rPr/>
              <w:t xml:space="preserve">Décryptage des recommandations et du consensus international ESSKA (lésions traumatiques vs dégénératives).  </w:t>
            </w:r>
          </w:p>
          <w:p>
            <w:pPr>
              <w:pStyle w:val="Contenudetableau"/>
              <w:spacing w:before="100" w:after="200"/>
              <w:rPr/>
            </w:pPr>
            <w:r>
              <w:rPr/>
              <w:t>Algorithme décisionnel : traitement conservateur vs options chirurgicales (suture/réparation, méniscectomie partielle, etc.).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15h00 – 15h15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15min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>
                <w:b/>
                <w:bCs/>
              </w:rPr>
              <w:t>Pause</w:t>
            </w:r>
            <w:r>
              <w:rPr/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15h15 – 17h00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1h45min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 xml:space="preserve">Ateliers cliniques : Cas concrets </w:t>
            </w:r>
            <w:r>
              <w:rPr>
                <w:b/>
                <w:bCs/>
              </w:rPr>
              <w:t>et</w:t>
            </w:r>
            <w:r>
              <w:rPr>
                <w:b/>
                <w:bCs/>
              </w:rPr>
              <w:t xml:space="preserve"> Retours d'expériences </w:t>
            </w:r>
          </w:p>
          <w:p>
            <w:pPr>
              <w:pStyle w:val="Contenudetableau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Étude de cas réels (imagerie, interrogatoire, profil patient).</w:t>
            </w:r>
          </w:p>
          <w:p>
            <w:pPr>
              <w:pStyle w:val="Contenudetableau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Discussion croisée chirurgien orthopédiste / kinésithérapeute (Pr Neri &amp; A. Rambaud).  </w:t>
            </w:r>
          </w:p>
          <w:p>
            <w:pPr>
              <w:pStyle w:val="Contenudetableau"/>
              <w:spacing w:before="100" w:after="20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D</w:t>
            </w:r>
            <w:r>
              <w:rPr>
                <w:b w:val="false"/>
                <w:bCs w:val="false"/>
              </w:rPr>
              <w:t xml:space="preserve">ébriefing interactif de fin de Journée 1 via Wooclap.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10466" w:type="dxa"/>
            <w:gridSpan w:val="4"/>
            <w:tcBorders>
              <w:top w:val="single" w:sz="4" w:space="0" w:color="0070C0"/>
              <w:start w:val="single" w:sz="4" w:space="0" w:color="0070C0"/>
              <w:bottom w:val="single" w:sz="4" w:space="0" w:color="0070C0"/>
              <w:end w:val="single" w:sz="4" w:space="0" w:color="0070C0"/>
            </w:tcBorders>
          </w:tcPr>
          <w:p>
            <w:pPr>
              <w:pStyle w:val="Contenudetableau"/>
              <w:spacing w:before="100" w:after="200"/>
              <w:jc w:val="center"/>
              <w:rPr/>
            </w:pPr>
            <w:r>
              <w:rPr>
                <w:b/>
                <w:bCs/>
              </w:rPr>
              <w:t>Jour 2 : Rééducation, bilans objectifs et retour aux activités (7h00)</w:t>
            </w:r>
            <w:r>
              <w:rPr/>
              <w:t xml:space="preserve"> 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09h00 – 09h30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>30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>Mobilisation</w:t>
            </w:r>
            <w:r>
              <w:rPr>
                <w:b/>
                <w:bCs/>
              </w:rPr>
              <w:t xml:space="preserve"> des </w:t>
            </w:r>
            <w:r>
              <w:rPr>
                <w:b/>
                <w:bCs/>
              </w:rPr>
              <w:t>connaissances</w:t>
            </w:r>
            <w:r>
              <w:rPr>
                <w:b/>
                <w:bCs/>
              </w:rPr>
              <w:t xml:space="preserve"> acquis</w:t>
            </w:r>
            <w:r>
              <w:rPr>
                <w:b/>
                <w:bCs/>
              </w:rPr>
              <w:t>es lors de</w:t>
            </w:r>
            <w:r>
              <w:rPr>
                <w:b/>
                <w:bCs/>
              </w:rPr>
              <w:t xml:space="preserve"> J1 </w:t>
            </w:r>
          </w:p>
          <w:p>
            <w:pPr>
              <w:pStyle w:val="Contenudetableau"/>
              <w:spacing w:before="100" w:after="200"/>
              <w:rPr/>
            </w:pPr>
            <w:r>
              <w:rPr/>
              <w:t xml:space="preserve">Feedback J1, questions/réponses et quiz de démarrage.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09h30 – 11h00 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1h30</w:t>
            </w:r>
            <w:r>
              <w:rPr/>
              <w:t>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 xml:space="preserve">Théorie </w:t>
            </w:r>
            <w:r>
              <w:rPr>
                <w:b/>
                <w:bCs/>
              </w:rPr>
              <w:t>et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émarche : La rééducation selon le profil lésionnel et chirurgical  </w:t>
            </w:r>
          </w:p>
          <w:p>
            <w:pPr>
              <w:pStyle w:val="Contenudetableau"/>
              <w:rPr/>
            </w:pPr>
            <w:r>
              <w:rPr/>
              <w:t xml:space="preserve">Rééducation du traitement médical/conservateur vs post-opératoire (spécificités de la suture méniscale vs méniscectomie).  </w:t>
            </w:r>
          </w:p>
          <w:p>
            <w:pPr>
              <w:pStyle w:val="Contenudetableau"/>
              <w:rPr/>
            </w:pPr>
            <w:r>
              <w:rPr/>
              <w:t>Gestion des contraintes mécaniques, des amplitudes et des délais de cicatrisation tissulaire.</w:t>
            </w:r>
          </w:p>
          <w:p>
            <w:pPr>
              <w:pStyle w:val="Contenudetableau"/>
              <w:spacing w:before="100" w:after="200"/>
              <w:rPr/>
            </w:pPr>
            <w:r>
              <w:rPr/>
              <w:t>Planification et grands principes de progression par phases.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11h00 – 11h15 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15min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>Pause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>1</w:t>
            </w:r>
            <w:r>
              <w:rPr/>
              <w:t>1</w:t>
            </w:r>
            <w:r>
              <w:rPr/>
              <w:t>h</w:t>
            </w:r>
            <w:r>
              <w:rPr/>
              <w:t>1</w:t>
            </w:r>
            <w:r>
              <w:rPr/>
              <w:t xml:space="preserve">5 – 12h30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</w:r>
            <w:bookmarkStart w:id="1" w:name="p-rc_74f1a51bef66ddb6-68_Copie_1"/>
            <w:bookmarkEnd w:id="1"/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</w:t>
            </w:r>
            <w:r>
              <w:rPr/>
              <w:t>1</w:t>
            </w:r>
            <w:r>
              <w:rPr/>
              <w:t>5</w:t>
            </w:r>
            <w:r>
              <w:rPr/>
              <w:t>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>
                <w:b/>
                <w:bCs/>
              </w:rPr>
              <w:t>Pratique : Pratique : Tests fonctionnels et bilans objectifs du membre inférieur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Bilan quantifié des déficiences (force, mobilité, contrôle neuromusculaire). 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 xml:space="preserve">Batteries de tests fonctionnels (Hop tests, Y-Balance Test, tests d'endurance, etc.).  </w:t>
            </w:r>
          </w:p>
          <w:p>
            <w:pPr>
              <w:pStyle w:val="Contenudetableau"/>
              <w:bidi w:val="0"/>
              <w:spacing w:lineRule="auto" w:line="276" w:before="100" w:after="200"/>
              <w:jc w:val="start"/>
              <w:rPr/>
            </w:pPr>
            <w:r>
              <w:rPr/>
              <w:t>Atelier pratique de passation et de cotation.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 xml:space="preserve">12h30 – 13h30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60 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>
                <w:b/>
                <w:bCs/>
              </w:rPr>
              <w:t>Pause Déjeuner</w:t>
            </w:r>
            <w:r>
              <w:rPr/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>13h30 – 15h</w:t>
            </w:r>
            <w:r>
              <w:rPr/>
              <w:t>15</w:t>
            </w:r>
            <w:r>
              <w:rPr/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</w:t>
            </w:r>
            <w:r>
              <w:rPr/>
              <w:t>45</w:t>
            </w:r>
            <w:r>
              <w:rPr/>
              <w:t>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 xml:space="preserve">Pratique : Construction et mise en œuvre du plan de rééducation </w:t>
            </w:r>
          </w:p>
          <w:p>
            <w:pPr>
              <w:pStyle w:val="Contenudetableau"/>
              <w:spacing w:before="100" w:after="200"/>
              <w:rPr/>
            </w:pPr>
            <w:r>
              <w:rPr/>
              <w:t>Exercices thérapeutiques ciblés : renforcement progressif, proprioception, travail en chaîne ouverte/fermée, pliométrie.</w:t>
              <w:br/>
              <w:br/>
              <w:t>Critères de passage d'une phase à l'autre (critères objectifs vs temporels).</w:t>
              <w:br/>
              <w:br/>
              <w:t>Adaptation de la charge selon la réponse clinique (douleur, épanchement).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>15h</w:t>
            </w:r>
            <w:r>
              <w:rPr/>
              <w:t>15</w:t>
            </w:r>
            <w:r>
              <w:rPr/>
              <w:t xml:space="preserve"> – 15h</w:t>
            </w:r>
            <w:r>
              <w:rPr/>
              <w:t>30</w:t>
            </w:r>
            <w:r>
              <w:rPr/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15min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>
                <w:b/>
                <w:bCs/>
              </w:rPr>
              <w:t>Pause</w:t>
            </w:r>
            <w:r>
              <w:rPr/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widowControl w:val="false"/>
              <w:suppressLineNumbers/>
              <w:spacing w:before="100" w:after="200"/>
              <w:rPr/>
            </w:pPr>
            <w:r>
              <w:rPr/>
              <w:t>15h</w:t>
            </w:r>
            <w:r>
              <w:rPr/>
              <w:t>30</w:t>
            </w:r>
            <w:r>
              <w:rPr/>
              <w:t xml:space="preserve"> – 1</w:t>
            </w:r>
            <w:r>
              <w:rPr/>
              <w:t>6</w:t>
            </w:r>
            <w:r>
              <w:rPr/>
              <w:t>h</w:t>
            </w:r>
            <w:r>
              <w:rPr/>
              <w:t>3</w:t>
            </w:r>
            <w:r>
              <w:rPr/>
              <w:t xml:space="preserve">0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1hmin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 xml:space="preserve">Théorie &amp; Pratique : Retour aux activités et au sport (RTS)  </w:t>
            </w:r>
          </w:p>
          <w:p>
            <w:pPr>
              <w:pStyle w:val="Contenudetableau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Algorithmes de décision pour le retour aux activités professionnelles et sportives.</w:t>
            </w:r>
          </w:p>
          <w:p>
            <w:pPr>
              <w:pStyle w:val="Contenudetableau"/>
              <w:spacing w:before="100" w:after="200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Critères de sortie et prévention des récidives / de l'arthrose secondaire.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  <w:tr>
        <w:trPr/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16h30– 17h00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30min</w:t>
            </w:r>
          </w:p>
        </w:tc>
        <w:tc>
          <w:tcPr>
            <w:tcW w:w="2616" w:type="dxa"/>
            <w:tcBorders/>
          </w:tcPr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/>
                <w:bCs/>
              </w:rPr>
              <w:t>Évaluation de fin de formation</w:t>
            </w:r>
          </w:p>
          <w:p>
            <w:pPr>
              <w:pStyle w:val="Contenudetableau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Évaluation post-formation via Wooclap (mesure de la progression des acquis).  </w:t>
            </w:r>
          </w:p>
          <w:p>
            <w:pPr>
              <w:pStyle w:val="Contenudetableau"/>
              <w:spacing w:before="100" w:after="200"/>
              <w:rPr>
                <w:b/>
                <w:bCs/>
              </w:rPr>
            </w:pPr>
            <w:r>
              <w:rPr>
                <w:b w:val="false"/>
                <w:bCs w:val="false"/>
              </w:rPr>
              <w:t>Synthèse générale et conclusion par les formateurs.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617" w:type="dxa"/>
            <w:tcBorders/>
          </w:tcPr>
          <w:p>
            <w:pPr>
              <w:pStyle w:val="Contenudetableau"/>
              <w:spacing w:before="100" w:after="200"/>
              <w:rPr/>
            </w:pPr>
            <w:r>
              <w:rPr/>
              <w:t>T. Neri et A. Rambaud</w:t>
            </w:r>
          </w:p>
        </w:tc>
      </w:tr>
    </w:tbl>
    <w:p>
      <w:pPr>
        <w:pStyle w:val="Normal"/>
        <w:spacing w:before="100" w:after="200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hor1" w:initials="1">
    <w:p>
      <w:pPr>
        <w:overflowPunct w:val="false"/>
        <w:spacing w:before="0" w:after="0" w:lineRule="auto" w:line="240"/>
        <w:rPr/>
      </w:pPr>
      <w:r>
        <w:annotationRef/>
      </w:r>
      <w:r>
        <w:rPr/>
        <w:t>À remplir par vos soins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03ff"/>
    <w:pPr>
      <w:widowControl/>
      <w:bidi w:val="0"/>
      <w:spacing w:lineRule="auto" w:line="276" w:before="10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fr-FR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4b03ff"/>
    <w:pPr>
      <w:pBdr>
        <w:top w:val="single" w:sz="24" w:space="0" w:color="E84C22" w:themeColor="accent1"/>
        <w:left w:val="single" w:sz="24" w:space="0" w:color="E84C22" w:themeColor="accent1"/>
        <w:bottom w:val="single" w:sz="24" w:space="0" w:color="E84C22" w:themeColor="accent1"/>
        <w:right w:val="single" w:sz="24" w:space="0" w:color="E84C22" w:themeColor="accent1"/>
      </w:pBdr>
      <w:shd w:val="clear" w:color="auto" w:fill="E84C22" w:themeFill="accent1"/>
      <w:spacing w:before="100" w:after="0"/>
      <w:outlineLvl w:val="0"/>
    </w:pPr>
    <w:rPr>
      <w:caps/>
      <w:color w:themeColor="background1"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4b03ff"/>
    <w:pPr>
      <w:pBdr>
        <w:top w:val="single" w:sz="24" w:space="0" w:color="FADAD2" w:themeColor="accent1" w:themeTint="33"/>
        <w:left w:val="single" w:sz="24" w:space="0" w:color="FADAD2" w:themeColor="accent1" w:themeTint="33"/>
        <w:bottom w:val="single" w:sz="24" w:space="0" w:color="FADAD2" w:themeColor="accent1" w:themeTint="33"/>
        <w:right w:val="single" w:sz="24" w:space="0" w:color="FADAD2" w:themeColor="accent1" w:themeTint="33"/>
      </w:pBdr>
      <w:shd w:val="clear" w:color="auto" w:fill="FADAD2" w:themeFill="accent1" w:themeFillTint="33"/>
      <w:spacing w:before="100"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4b03ff"/>
    <w:pPr>
      <w:pBdr>
        <w:top w:val="single" w:sz="6" w:space="2" w:color="E84C22" w:themeColor="accent1"/>
      </w:pBdr>
      <w:spacing w:before="300" w:after="0"/>
      <w:outlineLvl w:val="2"/>
    </w:pPr>
    <w:rPr>
      <w:caps/>
      <w:color w:themeColor="accent1" w:themeShade="7f" w:val="77230C"/>
      <w:spacing w:val="15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4b03ff"/>
    <w:pPr>
      <w:pBdr>
        <w:top w:val="dotted" w:sz="6" w:space="2" w:color="E84C22" w:themeColor="accent1"/>
      </w:pBdr>
      <w:spacing w:before="200" w:after="0"/>
      <w:outlineLvl w:val="3"/>
    </w:pPr>
    <w:rPr>
      <w:caps/>
      <w:color w:themeColor="accent1" w:themeShade="bf" w:val="B43412"/>
      <w:spacing w:val="10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4b03ff"/>
    <w:pPr>
      <w:pBdr>
        <w:bottom w:val="single" w:sz="6" w:space="1" w:color="E84C22" w:themeColor="accent1"/>
      </w:pBdr>
      <w:spacing w:before="200" w:after="0"/>
      <w:outlineLvl w:val="4"/>
    </w:pPr>
    <w:rPr>
      <w:caps/>
      <w:color w:themeColor="accent1" w:themeShade="bf" w:val="B43412"/>
      <w:spacing w:val="10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4b03ff"/>
    <w:pPr>
      <w:pBdr>
        <w:bottom w:val="dotted" w:sz="6" w:space="1" w:color="E84C22" w:themeColor="accent1"/>
      </w:pBdr>
      <w:spacing w:before="200" w:after="0"/>
      <w:outlineLvl w:val="5"/>
    </w:pPr>
    <w:rPr>
      <w:caps/>
      <w:color w:themeColor="accent1" w:themeShade="bf" w:val="B43412"/>
      <w:spacing w:val="10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4b03ff"/>
    <w:pPr>
      <w:spacing w:before="200" w:after="0"/>
      <w:outlineLvl w:val="6"/>
    </w:pPr>
    <w:rPr>
      <w:caps/>
      <w:color w:themeColor="accent1" w:themeShade="bf" w:val="B43412"/>
      <w:spacing w:val="10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4b03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4b03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4b03ff"/>
    <w:rPr>
      <w:caps/>
      <w:color w:themeColor="background1" w:val="FFFFFF"/>
      <w:spacing w:val="15"/>
      <w:sz w:val="22"/>
      <w:szCs w:val="22"/>
      <w:shd w:fill="E84C22" w:val="clear"/>
    </w:rPr>
  </w:style>
  <w:style w:type="character" w:styleId="Titre2Car" w:customStyle="1">
    <w:name w:val="Titre 2 Car"/>
    <w:basedOn w:val="DefaultParagraphFont"/>
    <w:uiPriority w:val="9"/>
    <w:semiHidden/>
    <w:qFormat/>
    <w:rsid w:val="004b03ff"/>
    <w:rPr>
      <w:caps/>
      <w:spacing w:val="15"/>
      <w:shd w:fill="FADAD2" w:val="clear"/>
    </w:rPr>
  </w:style>
  <w:style w:type="character" w:styleId="Titre3Car" w:customStyle="1">
    <w:name w:val="Titre 3 Car"/>
    <w:basedOn w:val="DefaultParagraphFont"/>
    <w:uiPriority w:val="9"/>
    <w:semiHidden/>
    <w:qFormat/>
    <w:rsid w:val="004b03ff"/>
    <w:rPr>
      <w:caps/>
      <w:color w:themeColor="accent1" w:themeShade="7f" w:val="77230C"/>
      <w:spacing w:val="15"/>
    </w:rPr>
  </w:style>
  <w:style w:type="character" w:styleId="Titre4Car" w:customStyle="1">
    <w:name w:val="Titre 4 Car"/>
    <w:basedOn w:val="DefaultParagraphFont"/>
    <w:uiPriority w:val="9"/>
    <w:semiHidden/>
    <w:qFormat/>
    <w:rsid w:val="004b03ff"/>
    <w:rPr>
      <w:caps/>
      <w:color w:themeColor="accent1" w:themeShade="bf" w:val="B43412"/>
      <w:spacing w:val="10"/>
    </w:rPr>
  </w:style>
  <w:style w:type="character" w:styleId="Titre5Car" w:customStyle="1">
    <w:name w:val="Titre 5 Car"/>
    <w:basedOn w:val="DefaultParagraphFont"/>
    <w:uiPriority w:val="9"/>
    <w:semiHidden/>
    <w:qFormat/>
    <w:rsid w:val="004b03ff"/>
    <w:rPr>
      <w:caps/>
      <w:color w:themeColor="accent1" w:themeShade="bf" w:val="B43412"/>
      <w:spacing w:val="10"/>
    </w:rPr>
  </w:style>
  <w:style w:type="character" w:styleId="Titre6Car" w:customStyle="1">
    <w:name w:val="Titre 6 Car"/>
    <w:basedOn w:val="DefaultParagraphFont"/>
    <w:uiPriority w:val="9"/>
    <w:semiHidden/>
    <w:qFormat/>
    <w:rsid w:val="004b03ff"/>
    <w:rPr>
      <w:caps/>
      <w:color w:themeColor="accent1" w:themeShade="bf" w:val="B43412"/>
      <w:spacing w:val="10"/>
    </w:rPr>
  </w:style>
  <w:style w:type="character" w:styleId="Titre7Car" w:customStyle="1">
    <w:name w:val="Titre 7 Car"/>
    <w:basedOn w:val="DefaultParagraphFont"/>
    <w:uiPriority w:val="9"/>
    <w:semiHidden/>
    <w:qFormat/>
    <w:rsid w:val="004b03ff"/>
    <w:rPr>
      <w:caps/>
      <w:color w:themeColor="accent1" w:themeShade="bf" w:val="B43412"/>
      <w:spacing w:val="10"/>
    </w:rPr>
  </w:style>
  <w:style w:type="character" w:styleId="Titre8Car" w:customStyle="1">
    <w:name w:val="Titre 8 Car"/>
    <w:basedOn w:val="DefaultParagraphFont"/>
    <w:uiPriority w:val="9"/>
    <w:semiHidden/>
    <w:qFormat/>
    <w:rsid w:val="004b03ff"/>
    <w:rPr>
      <w:caps/>
      <w:spacing w:val="10"/>
      <w:sz w:val="18"/>
      <w:szCs w:val="18"/>
    </w:rPr>
  </w:style>
  <w:style w:type="character" w:styleId="Titre9Car" w:customStyle="1">
    <w:name w:val="Titre 9 Car"/>
    <w:basedOn w:val="DefaultParagraphFont"/>
    <w:uiPriority w:val="9"/>
    <w:semiHidden/>
    <w:qFormat/>
    <w:rsid w:val="004b03ff"/>
    <w:rPr>
      <w:i/>
      <w:iCs/>
      <w:caps/>
      <w:spacing w:val="10"/>
      <w:sz w:val="18"/>
      <w:szCs w:val="18"/>
    </w:rPr>
  </w:style>
  <w:style w:type="character" w:styleId="TitreCar" w:customStyle="1">
    <w:name w:val="Titre Car"/>
    <w:basedOn w:val="DefaultParagraphFont"/>
    <w:uiPriority w:val="10"/>
    <w:qFormat/>
    <w:rsid w:val="004b03ff"/>
    <w:rPr>
      <w:rFonts w:ascii="Calibri Light" w:hAnsi="Calibri Light" w:eastAsia="" w:cs="" w:asciiTheme="majorHAnsi" w:cstheme="majorBidi" w:eastAsiaTheme="majorEastAsia" w:hAnsiTheme="majorHAnsi"/>
      <w:caps/>
      <w:color w:themeColor="accent1" w:val="E84C22"/>
      <w:spacing w:val="10"/>
      <w:sz w:val="52"/>
      <w:szCs w:val="52"/>
    </w:rPr>
  </w:style>
  <w:style w:type="character" w:styleId="Sous-titreCar" w:customStyle="1">
    <w:name w:val="Sous-titre Car"/>
    <w:basedOn w:val="DefaultParagraphFont"/>
    <w:uiPriority w:val="11"/>
    <w:qFormat/>
    <w:rsid w:val="004b03ff"/>
    <w:rPr>
      <w:caps/>
      <w:color w:themeColor="text1" w:themeTint="a6" w:val="595959"/>
      <w:spacing w:val="10"/>
      <w:sz w:val="21"/>
      <w:szCs w:val="21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4b03ff"/>
    <w:rPr>
      <w:i/>
      <w:iCs/>
      <w:sz w:val="24"/>
      <w:szCs w:val="24"/>
    </w:rPr>
  </w:style>
  <w:style w:type="character" w:styleId="IntenseEmphasis">
    <w:name w:val="Intense Emphasis"/>
    <w:uiPriority w:val="21"/>
    <w:qFormat/>
    <w:rsid w:val="004b03ff"/>
    <w:rPr>
      <w:b/>
      <w:bCs/>
      <w:caps/>
      <w:color w:themeColor="accent1" w:themeShade="7f" w:val="77230C"/>
      <w:spacing w:val="10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4b03ff"/>
    <w:rPr>
      <w:color w:themeColor="accent1" w:val="E84C22"/>
      <w:sz w:val="24"/>
      <w:szCs w:val="24"/>
    </w:rPr>
  </w:style>
  <w:style w:type="character" w:styleId="IntenseReference">
    <w:name w:val="Intense Reference"/>
    <w:uiPriority w:val="32"/>
    <w:qFormat/>
    <w:rsid w:val="004b03ff"/>
    <w:rPr>
      <w:b/>
      <w:bCs/>
      <w:i/>
      <w:iCs/>
      <w:caps/>
      <w:color w:themeColor="accent1" w:val="E84C22"/>
    </w:rPr>
  </w:style>
  <w:style w:type="character" w:styleId="Strong">
    <w:name w:val="Strong"/>
    <w:uiPriority w:val="22"/>
    <w:qFormat/>
    <w:rsid w:val="004b03ff"/>
    <w:rPr>
      <w:b/>
      <w:bCs/>
    </w:rPr>
  </w:style>
  <w:style w:type="character" w:styleId="Emphasis">
    <w:name w:val="Emphasis"/>
    <w:uiPriority w:val="20"/>
    <w:qFormat/>
    <w:rsid w:val="004b03ff"/>
    <w:rPr>
      <w:caps/>
      <w:color w:themeColor="accent1" w:themeShade="7f" w:val="77230C"/>
      <w:spacing w:val="5"/>
    </w:rPr>
  </w:style>
  <w:style w:type="character" w:styleId="SubtleEmphasis">
    <w:name w:val="Subtle Emphasis"/>
    <w:uiPriority w:val="19"/>
    <w:qFormat/>
    <w:rsid w:val="004b03ff"/>
    <w:rPr>
      <w:i/>
      <w:iCs/>
      <w:color w:themeColor="accent1" w:themeShade="7f" w:val="77230C"/>
    </w:rPr>
  </w:style>
  <w:style w:type="character" w:styleId="SubtleReference">
    <w:name w:val="Subtle Reference"/>
    <w:uiPriority w:val="31"/>
    <w:qFormat/>
    <w:rsid w:val="004b03ff"/>
    <w:rPr>
      <w:b/>
      <w:bCs/>
      <w:color w:themeColor="accent1" w:val="E84C22"/>
    </w:rPr>
  </w:style>
  <w:style w:type="character" w:styleId="BookTitle">
    <w:name w:val="Book Title"/>
    <w:uiPriority w:val="33"/>
    <w:qFormat/>
    <w:rsid w:val="004b03ff"/>
    <w:rPr>
      <w:b/>
      <w:bCs/>
      <w:i/>
      <w:iCs/>
      <w:spacing w:val="0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03ff"/>
    <w:pPr/>
    <w:rPr>
      <w:b/>
      <w:bCs/>
      <w:color w:themeColor="accent1" w:themeShade="bf" w:val="B43412"/>
      <w:sz w:val="16"/>
      <w:szCs w:val="16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reCar"/>
    <w:uiPriority w:val="10"/>
    <w:qFormat/>
    <w:rsid w:val="004b03ff"/>
    <w:pPr>
      <w:spacing w:before="0" w:after="0"/>
    </w:pPr>
    <w:rPr>
      <w:rFonts w:ascii="Calibri Light" w:hAnsi="Calibri Light" w:eastAsia="" w:cs="" w:asciiTheme="majorHAnsi" w:cstheme="majorBidi" w:eastAsiaTheme="majorEastAsia" w:hAnsiTheme="majorHAnsi"/>
      <w:caps/>
      <w:color w:themeColor="accent1" w:val="E84C22"/>
      <w:spacing w:val="10"/>
      <w:sz w:val="52"/>
      <w:szCs w:val="52"/>
    </w:rPr>
  </w:style>
  <w:style w:type="paragraph" w:styleId="Subtitle">
    <w:name w:val="Subtitle"/>
    <w:basedOn w:val="Normal"/>
    <w:next w:val="Normal"/>
    <w:link w:val="Sous-titreCar"/>
    <w:uiPriority w:val="11"/>
    <w:qFormat/>
    <w:rsid w:val="004b03ff"/>
    <w:pPr>
      <w:spacing w:lineRule="auto" w:line="240" w:before="0" w:after="500"/>
    </w:pPr>
    <w:rPr>
      <w:caps/>
      <w:color w:themeColor="text1" w:themeTint="a6" w:val="595959"/>
      <w:spacing w:val="10"/>
      <w:sz w:val="21"/>
      <w:szCs w:val="21"/>
    </w:rPr>
  </w:style>
  <w:style w:type="paragraph" w:styleId="Quote">
    <w:name w:val="Quote"/>
    <w:basedOn w:val="Normal"/>
    <w:next w:val="Normal"/>
    <w:link w:val="CitationCar"/>
    <w:uiPriority w:val="29"/>
    <w:qFormat/>
    <w:rsid w:val="004b03ff"/>
    <w:pPr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b03ff"/>
    <w:pPr>
      <w:spacing w:before="100" w:after="200"/>
      <w:ind w:star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4b03ff"/>
    <w:pPr>
      <w:spacing w:lineRule="auto" w:line="240" w:before="240" w:after="240"/>
      <w:ind w:start="1080" w:end="1080"/>
      <w:jc w:val="center"/>
    </w:pPr>
    <w:rPr>
      <w:color w:themeColor="accent1" w:val="E84C22"/>
      <w:sz w:val="24"/>
      <w:szCs w:val="24"/>
    </w:rPr>
  </w:style>
  <w:style w:type="paragraph" w:styleId="NoSpacing">
    <w:name w:val="No Spacing"/>
    <w:uiPriority w:val="1"/>
    <w:qFormat/>
    <w:rsid w:val="004b03ff"/>
    <w:pPr>
      <w:widowControl/>
      <w:bidi w:val="0"/>
      <w:spacing w:lineRule="auto" w:line="240" w:before="100" w:after="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fr-FR" w:eastAsia="en-US" w:bidi="ar-SA"/>
    </w:rPr>
  </w:style>
  <w:style w:type="paragraph" w:styleId="IndexHeading">
    <w:name w:val="index heading"/>
    <w:basedOn w:val="Titr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03ff"/>
    <w:pPr>
      <w:outlineLvl w:val="9"/>
    </w:pPr>
    <w:rPr/>
  </w:style>
  <w:style w:type="paragraph" w:styleId="Commentaire">
    <w:name w:val="Commentaire"/>
    <w:basedOn w:val="Normal"/>
    <w:qFormat/>
    <w:pPr>
      <w:spacing w:lineRule="auto" w:line="240" w:before="56" w:after="0"/>
      <w:ind w:hanging="0" w:start="57" w:end="57"/>
    </w:pPr>
    <w:rPr>
      <w:color w:val="auto"/>
      <w:sz w:val="20"/>
      <w:szCs w:val="20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Rouge orange">
      <a:dk1>
        <a:srgbClr val="000000"/>
      </a:dk1>
      <a:lt1>
        <a:srgbClr val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LibreOffice/26.2.5.2$Windows_X86_64 LibreOffice_project/cd7284b4cbbfeb507e630c1aac019f4157393acb</Application>
  <AppVersion>15.0000</AppVersion>
  <Pages>6</Pages>
  <Words>919</Words>
  <Characters>5398</Characters>
  <CharactersWithSpaces>6270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fr-FR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